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D0" w:rsidRPr="008440D0" w:rsidRDefault="00E4488D" w:rsidP="008440D0">
      <w:pPr>
        <w:shd w:val="clear" w:color="auto" w:fill="FFFFFF"/>
        <w:spacing w:after="0" w:line="451" w:lineRule="atLeast"/>
        <w:jc w:val="both"/>
        <w:textAlignment w:val="baseline"/>
        <w:outlineLvl w:val="0"/>
        <w:rPr>
          <w:rFonts w:ascii="inherit" w:eastAsia="Times New Roman" w:hAnsi="inherit" w:cs="Arial"/>
          <w:color w:val="3B4256"/>
          <w:spacing w:val="-5"/>
          <w:kern w:val="36"/>
          <w:sz w:val="40"/>
          <w:szCs w:val="40"/>
          <w:lang w:eastAsia="ru-RU"/>
        </w:rPr>
      </w:pPr>
      <w:r>
        <w:fldChar w:fldCharType="begin"/>
      </w:r>
      <w:r>
        <w:instrText>HYPERLINK "garantf1://12025267.0" \o "Кодекс Российской Федерации об административных правонарушениях от 30 декабря 2001 г. N 195-ФЗ (КоАП РФ) (с изменениям и дополнениями)"</w:instrText>
      </w:r>
      <w:r>
        <w:fldChar w:fldCharType="separate"/>
      </w:r>
      <w:r w:rsidR="008440D0" w:rsidRPr="008440D0">
        <w:rPr>
          <w:rFonts w:ascii="inherit" w:eastAsia="Times New Roman" w:hAnsi="inherit" w:cs="Arial"/>
          <w:color w:val="276CC3"/>
          <w:spacing w:val="-5"/>
          <w:kern w:val="36"/>
          <w:sz w:val="40"/>
          <w:lang w:eastAsia="ru-RU"/>
        </w:rPr>
        <w:t>Кодекс Российской Федерации об административных правонарушениях от 30 декабря 2001 г. N 195-ФЗ (</w:t>
      </w:r>
      <w:proofErr w:type="spellStart"/>
      <w:r w:rsidR="008440D0" w:rsidRPr="008440D0">
        <w:rPr>
          <w:rFonts w:ascii="inherit" w:eastAsia="Times New Roman" w:hAnsi="inherit" w:cs="Arial"/>
          <w:color w:val="276CC3"/>
          <w:spacing w:val="-5"/>
          <w:kern w:val="36"/>
          <w:sz w:val="40"/>
          <w:lang w:eastAsia="ru-RU"/>
        </w:rPr>
        <w:t>КоАП</w:t>
      </w:r>
      <w:proofErr w:type="spellEnd"/>
      <w:r w:rsidR="008440D0" w:rsidRPr="008440D0">
        <w:rPr>
          <w:rFonts w:ascii="inherit" w:eastAsia="Times New Roman" w:hAnsi="inherit" w:cs="Arial"/>
          <w:color w:val="276CC3"/>
          <w:spacing w:val="-5"/>
          <w:kern w:val="36"/>
          <w:sz w:val="40"/>
          <w:lang w:eastAsia="ru-RU"/>
        </w:rPr>
        <w:t xml:space="preserve"> РФ) (</w:t>
      </w:r>
      <w:proofErr w:type="gramStart"/>
      <w:r w:rsidR="008440D0" w:rsidRPr="008440D0">
        <w:rPr>
          <w:rFonts w:ascii="inherit" w:eastAsia="Times New Roman" w:hAnsi="inherit" w:cs="Arial"/>
          <w:color w:val="276CC3"/>
          <w:spacing w:val="-5"/>
          <w:kern w:val="36"/>
          <w:sz w:val="40"/>
          <w:lang w:eastAsia="ru-RU"/>
        </w:rPr>
        <w:t>с</w:t>
      </w:r>
      <w:proofErr w:type="gramEnd"/>
      <w:r w:rsidR="008440D0" w:rsidRPr="008440D0">
        <w:rPr>
          <w:rFonts w:ascii="inherit" w:eastAsia="Times New Roman" w:hAnsi="inherit" w:cs="Arial"/>
          <w:color w:val="276CC3"/>
          <w:spacing w:val="-5"/>
          <w:kern w:val="36"/>
          <w:sz w:val="40"/>
          <w:lang w:eastAsia="ru-RU"/>
        </w:rPr>
        <w:t xml:space="preserve"> </w:t>
      </w:r>
      <w:proofErr w:type="gramStart"/>
      <w:r w:rsidR="008440D0" w:rsidRPr="008440D0">
        <w:rPr>
          <w:rFonts w:ascii="inherit" w:eastAsia="Times New Roman" w:hAnsi="inherit" w:cs="Arial"/>
          <w:color w:val="276CC3"/>
          <w:spacing w:val="-5"/>
          <w:kern w:val="36"/>
          <w:sz w:val="40"/>
          <w:lang w:eastAsia="ru-RU"/>
        </w:rPr>
        <w:t>изменениям</w:t>
      </w:r>
      <w:proofErr w:type="gramEnd"/>
      <w:r w:rsidR="008440D0" w:rsidRPr="008440D0">
        <w:rPr>
          <w:rFonts w:ascii="inherit" w:eastAsia="Times New Roman" w:hAnsi="inherit" w:cs="Arial"/>
          <w:color w:val="276CC3"/>
          <w:spacing w:val="-5"/>
          <w:kern w:val="36"/>
          <w:sz w:val="40"/>
          <w:lang w:eastAsia="ru-RU"/>
        </w:rPr>
        <w:t xml:space="preserve"> и дополнениями)</w:t>
      </w:r>
      <w:r>
        <w:fldChar w:fldCharType="end"/>
      </w:r>
    </w:p>
    <w:p w:rsidR="007B5C2D" w:rsidRPr="007B5C2D" w:rsidRDefault="007B5C2D" w:rsidP="008440D0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0"/>
          <w:szCs w:val="20"/>
          <w:lang w:eastAsia="ru-RU"/>
        </w:rPr>
      </w:pPr>
      <w:r w:rsidRPr="007B5C2D">
        <w:rPr>
          <w:rFonts w:ascii="Arial" w:eastAsia="Times New Roman" w:hAnsi="Arial" w:cs="Arial"/>
          <w:b/>
          <w:color w:val="3B4256"/>
          <w:sz w:val="20"/>
          <w:szCs w:val="20"/>
          <w:lang w:eastAsia="ru-RU"/>
        </w:rPr>
        <w:t>Статья 20.6. Невыполнение требований норм и правил по предупреждению и ликвидации чрезвычайных ситуаций</w:t>
      </w:r>
    </w:p>
    <w:p w:rsidR="007B5C2D" w:rsidRPr="007B5C2D" w:rsidRDefault="007B5C2D" w:rsidP="007B5C2D">
      <w:pPr>
        <w:pStyle w:val="a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3B4256"/>
          <w:sz w:val="20"/>
          <w:szCs w:val="20"/>
        </w:rPr>
      </w:pPr>
      <w:r w:rsidRPr="007B5C2D">
        <w:rPr>
          <w:rFonts w:ascii="Arial" w:hAnsi="Arial" w:cs="Arial"/>
          <w:color w:val="3B4256"/>
          <w:sz w:val="20"/>
          <w:szCs w:val="20"/>
        </w:rPr>
        <w:t>1.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назначения, за исключением случаев, предусмотренных </w:t>
      </w:r>
      <w:hyperlink r:id="rId4" w:anchor="dst9669" w:history="1">
        <w:r w:rsidRPr="007B5C2D">
          <w:rPr>
            <w:rFonts w:ascii="Arial" w:hAnsi="Arial" w:cs="Arial"/>
            <w:color w:val="3B4256"/>
            <w:sz w:val="20"/>
            <w:szCs w:val="20"/>
          </w:rPr>
          <w:t>статьей 8.50</w:t>
        </w:r>
      </w:hyperlink>
      <w:r w:rsidRPr="007B5C2D">
        <w:rPr>
          <w:rFonts w:ascii="Arial" w:hAnsi="Arial" w:cs="Arial"/>
          <w:color w:val="3B4256"/>
          <w:sz w:val="20"/>
          <w:szCs w:val="20"/>
        </w:rPr>
        <w:t> настоящего Кодекса, -</w:t>
      </w:r>
    </w:p>
    <w:p w:rsidR="007B5C2D" w:rsidRDefault="007B5C2D" w:rsidP="007B5C2D">
      <w:pPr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влечет наложение административного штрафа на должностных лиц в размере от десяти тысяч до </w:t>
      </w:r>
    </w:p>
    <w:p w:rsidR="007B5C2D" w:rsidRDefault="007B5C2D" w:rsidP="007B5C2D">
      <w:pPr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2. Непринятие мер по обеспечению готовности </w:t>
      </w:r>
      <w:hyperlink r:id="rId5" w:history="1">
        <w:r w:rsidRPr="007B5C2D">
          <w:rPr>
            <w:rFonts w:ascii="Arial" w:eastAsia="Times New Roman" w:hAnsi="Arial" w:cs="Arial"/>
            <w:color w:val="3B4256"/>
            <w:sz w:val="20"/>
            <w:szCs w:val="20"/>
            <w:lang w:eastAsia="ru-RU"/>
          </w:rPr>
          <w:t>сил и средств</w:t>
        </w:r>
      </w:hyperlink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, предназначенных для ликвидации чрезвычайных ситуаций, за исключением случаев, предусмотренных </w:t>
      </w:r>
      <w:hyperlink r:id="rId6" w:anchor="dst9669" w:history="1">
        <w:r w:rsidRPr="007B5C2D">
          <w:rPr>
            <w:rFonts w:ascii="Arial" w:eastAsia="Times New Roman" w:hAnsi="Arial" w:cs="Arial"/>
            <w:color w:val="3B4256"/>
            <w:sz w:val="20"/>
            <w:szCs w:val="20"/>
            <w:lang w:eastAsia="ru-RU"/>
          </w:rPr>
          <w:t>статьей 8.50</w:t>
        </w:r>
      </w:hyperlink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 настоящего Кодекса, а равно несвоевременное направление в зону чрезвычайной ситуации сил и средств, предусмотренных утвержденным в установленном порядке планом ликвидации чрезвычайных ситуаций, -</w:t>
      </w:r>
      <w:r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</w:t>
      </w:r>
    </w:p>
    <w:p w:rsidR="007B5C2D" w:rsidRDefault="007B5C2D" w:rsidP="007B5C2D">
      <w:pPr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рублей.</w:t>
      </w:r>
    </w:p>
    <w:p w:rsidR="007B5C2D" w:rsidRPr="007B5C2D" w:rsidRDefault="007B5C2D" w:rsidP="007B5C2D">
      <w:pPr>
        <w:pStyle w:val="a4"/>
        <w:shd w:val="clear" w:color="auto" w:fill="FFFFFF"/>
        <w:spacing w:before="0" w:beforeAutospacing="0" w:after="0" w:afterAutospacing="0" w:line="376" w:lineRule="atLeast"/>
        <w:outlineLvl w:val="1"/>
        <w:rPr>
          <w:rFonts w:ascii="Arial" w:hAnsi="Arial" w:cs="Arial"/>
          <w:b/>
          <w:color w:val="3B4256"/>
          <w:sz w:val="20"/>
          <w:szCs w:val="20"/>
        </w:rPr>
      </w:pPr>
      <w:r w:rsidRPr="007B5C2D">
        <w:rPr>
          <w:rFonts w:ascii="Arial" w:hAnsi="Arial" w:cs="Arial"/>
          <w:b/>
          <w:color w:val="3B4256"/>
          <w:sz w:val="20"/>
          <w:szCs w:val="20"/>
        </w:rPr>
        <w:t>Статья 20.6.1. Невыполнение правил поведения при чрезвычайной ситуации или угрозе ее возникновения</w:t>
      </w:r>
    </w:p>
    <w:p w:rsidR="007B5C2D" w:rsidRDefault="007B5C2D" w:rsidP="007B5C2D">
      <w:pPr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</w:p>
    <w:p w:rsidR="007B5C2D" w:rsidRPr="007B5C2D" w:rsidRDefault="007B5C2D" w:rsidP="007B5C2D">
      <w:pPr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1. Невыполнение </w:t>
      </w:r>
      <w:hyperlink r:id="rId7" w:anchor="dst100009" w:history="1">
        <w:r w:rsidRPr="007B5C2D">
          <w:rPr>
            <w:rFonts w:ascii="Arial" w:eastAsia="Times New Roman" w:hAnsi="Arial" w:cs="Arial"/>
            <w:color w:val="3B4256"/>
            <w:sz w:val="20"/>
            <w:szCs w:val="20"/>
            <w:lang w:eastAsia="ru-RU"/>
          </w:rPr>
          <w:t>правил</w:t>
        </w:r>
      </w:hyperlink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 поведения при введении режима повышенной готовности на </w:t>
      </w:r>
      <w:hyperlink r:id="rId8" w:history="1">
        <w:r w:rsidRPr="007B5C2D">
          <w:rPr>
            <w:rFonts w:ascii="Arial" w:eastAsia="Times New Roman" w:hAnsi="Arial" w:cs="Arial"/>
            <w:color w:val="3B4256"/>
            <w:sz w:val="20"/>
            <w:szCs w:val="20"/>
            <w:lang w:eastAsia="ru-RU"/>
          </w:rPr>
          <w:t>территории</w:t>
        </w:r>
      </w:hyperlink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, на которой существует угроза возникновения чрезвычайной ситуации, или в зоне чрезвычайной ситуации, за исключением случаев, предусмотренных </w:t>
      </w:r>
      <w:hyperlink r:id="rId9" w:anchor="dst104512" w:history="1">
        <w:r w:rsidRPr="007B5C2D">
          <w:rPr>
            <w:rFonts w:ascii="Arial" w:eastAsia="Times New Roman" w:hAnsi="Arial" w:cs="Arial"/>
            <w:color w:val="3B4256"/>
            <w:sz w:val="20"/>
            <w:szCs w:val="20"/>
            <w:lang w:eastAsia="ru-RU"/>
          </w:rPr>
          <w:t>частью 2 статьи 6.3</w:t>
        </w:r>
      </w:hyperlink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 настоящего Кодекса, -</w:t>
      </w:r>
    </w:p>
    <w:p w:rsidR="007B5C2D" w:rsidRPr="007B5C2D" w:rsidRDefault="007B5C2D" w:rsidP="007B5C2D">
      <w:pPr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proofErr w:type="gramStart"/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  <w:proofErr w:type="gramEnd"/>
    </w:p>
    <w:p w:rsidR="007B5C2D" w:rsidRPr="007B5C2D" w:rsidRDefault="007B5C2D" w:rsidP="007B5C2D">
      <w:pPr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2. Действия (бездействие), предусмотренные </w:t>
      </w:r>
      <w:hyperlink r:id="rId10" w:anchor="dst104535" w:history="1">
        <w:r w:rsidRPr="007B5C2D">
          <w:rPr>
            <w:rFonts w:ascii="Arial" w:eastAsia="Times New Roman" w:hAnsi="Arial" w:cs="Arial"/>
            <w:color w:val="3B4256"/>
            <w:sz w:val="20"/>
            <w:szCs w:val="20"/>
            <w:lang w:eastAsia="ru-RU"/>
          </w:rPr>
          <w:t>частью 1</w:t>
        </w:r>
      </w:hyperlink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 настоящей статьи, повлекшие причинение вреда здоровью человека или имуществу, за исключением случаев, предусмотренных </w:t>
      </w:r>
      <w:hyperlink r:id="rId11" w:anchor="dst104514" w:history="1">
        <w:r w:rsidRPr="007B5C2D">
          <w:rPr>
            <w:rFonts w:ascii="Arial" w:eastAsia="Times New Roman" w:hAnsi="Arial" w:cs="Arial"/>
            <w:color w:val="3B4256"/>
            <w:sz w:val="20"/>
            <w:szCs w:val="20"/>
            <w:lang w:eastAsia="ru-RU"/>
          </w:rPr>
          <w:t>частью 3 статьи 6.3</w:t>
        </w:r>
      </w:hyperlink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 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 </w:t>
      </w:r>
      <w:hyperlink r:id="rId12" w:anchor="dst104535" w:history="1">
        <w:r w:rsidRPr="007B5C2D">
          <w:rPr>
            <w:rFonts w:ascii="Arial" w:eastAsia="Times New Roman" w:hAnsi="Arial" w:cs="Arial"/>
            <w:color w:val="3B4256"/>
            <w:sz w:val="20"/>
            <w:szCs w:val="20"/>
            <w:lang w:eastAsia="ru-RU"/>
          </w:rPr>
          <w:t>частью 1</w:t>
        </w:r>
      </w:hyperlink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 настоящей статьи, -</w:t>
      </w:r>
    </w:p>
    <w:p w:rsidR="007B5C2D" w:rsidRPr="007B5C2D" w:rsidRDefault="007B5C2D" w:rsidP="007B5C2D">
      <w:pPr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7B5C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7B5C2D" w:rsidRPr="007B5C2D" w:rsidRDefault="007B5C2D" w:rsidP="007B5C2D">
      <w:pPr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</w:p>
    <w:p w:rsidR="00A941C6" w:rsidRPr="007B5C2D" w:rsidRDefault="00A941C6" w:rsidP="008440D0">
      <w:pPr>
        <w:jc w:val="both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</w:p>
    <w:sectPr w:rsidR="00A941C6" w:rsidRPr="007B5C2D" w:rsidSect="00A9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0D0"/>
    <w:rsid w:val="00033022"/>
    <w:rsid w:val="001334AE"/>
    <w:rsid w:val="00456563"/>
    <w:rsid w:val="006162A1"/>
    <w:rsid w:val="007B5C2D"/>
    <w:rsid w:val="007E0E02"/>
    <w:rsid w:val="008440D0"/>
    <w:rsid w:val="00A941C6"/>
    <w:rsid w:val="00B212A1"/>
    <w:rsid w:val="00B7755A"/>
    <w:rsid w:val="00D243AD"/>
    <w:rsid w:val="00E4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C6"/>
  </w:style>
  <w:style w:type="paragraph" w:styleId="1">
    <w:name w:val="heading 1"/>
    <w:basedOn w:val="a"/>
    <w:link w:val="10"/>
    <w:uiPriority w:val="9"/>
    <w:qFormat/>
    <w:rsid w:val="00844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4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7B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7B5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123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296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246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5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93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314/4c3d16938a70f413a4cc565530ab9e8945e09592/" TargetMode="External"/><Relationship Id="rId12" Type="http://schemas.openxmlformats.org/officeDocument/2006/relationships/hyperlink" Target="http://www.consultant.ru/document/cons_doc_LAW_422315/0a2ba7a26adcfaf416705508b8605c02191699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2315/66adaab0989b794d736d9eb8e3a3ac44bf40a039/" TargetMode="External"/><Relationship Id="rId11" Type="http://schemas.openxmlformats.org/officeDocument/2006/relationships/hyperlink" Target="http://www.consultant.ru/document/cons_doc_LAW_422315/c967eb7a901005316559be99424c3a824dc426b0/" TargetMode="External"/><Relationship Id="rId5" Type="http://schemas.openxmlformats.org/officeDocument/2006/relationships/hyperlink" Target="http://www.consultant.ru/document/cons_doc_LAW_413949/" TargetMode="External"/><Relationship Id="rId10" Type="http://schemas.openxmlformats.org/officeDocument/2006/relationships/hyperlink" Target="http://www.consultant.ru/document/cons_doc_LAW_422315/0a2ba7a26adcfaf416705508b8605c0219169901/" TargetMode="External"/><Relationship Id="rId4" Type="http://schemas.openxmlformats.org/officeDocument/2006/relationships/hyperlink" Target="http://www.consultant.ru/document/cons_doc_LAW_422315/66adaab0989b794d736d9eb8e3a3ac44bf40a039/" TargetMode="External"/><Relationship Id="rId9" Type="http://schemas.openxmlformats.org/officeDocument/2006/relationships/hyperlink" Target="http://www.consultant.ru/document/cons_doc_LAW_422315/c967eb7a901005316559be99424c3a824dc426b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2022-07-30T08:46:00Z</dcterms:created>
  <dcterms:modified xsi:type="dcterms:W3CDTF">2022-07-30T08:50:00Z</dcterms:modified>
</cp:coreProperties>
</file>