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к форме отчета об итогах работы с обращениями граждан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 2023 год.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2023 года в адрес Главного управления МЧС России по Тюменской области (далее – Главное управление)  поступило, и было поставлено на контроль </w:t>
      </w:r>
      <w:r>
        <w:rPr>
          <w:rFonts w:ascii="Times New Roman" w:hAnsi="Times New Roman"/>
          <w:b/>
          <w:sz w:val="28"/>
          <w:szCs w:val="28"/>
        </w:rPr>
        <w:t>758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 за аналогичный период прошлого года (далее - АППГ) — </w:t>
      </w:r>
      <w:r>
        <w:rPr>
          <w:rFonts w:ascii="Times New Roman" w:hAnsi="Times New Roman"/>
          <w:b/>
          <w:sz w:val="28"/>
          <w:szCs w:val="28"/>
        </w:rPr>
        <w:t>417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 82</w:t>
      </w:r>
      <w:r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ascii="Times New Roman" w:hAnsi="Times New Roman"/>
          <w:b/>
          <w:bCs/>
          <w:sz w:val="28"/>
          <w:szCs w:val="28"/>
        </w:rPr>
        <w:t>591</w:t>
      </w:r>
      <w:r>
        <w:rPr>
          <w:rFonts w:ascii="Times New Roman" w:hAnsi="Times New Roman"/>
          <w:sz w:val="28"/>
          <w:szCs w:val="28"/>
        </w:rPr>
        <w:t xml:space="preserve"> ( АППГ: </w:t>
      </w:r>
      <w:r>
        <w:rPr>
          <w:rFonts w:ascii="Times New Roman" w:hAnsi="Times New Roman"/>
          <w:b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обращения, увеличение составляет 117</w:t>
      </w:r>
      <w:r>
        <w:rPr>
          <w:rFonts w:ascii="Times New Roman" w:hAnsi="Times New Roman"/>
          <w:color w:val="000000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 xml:space="preserve"> обращений ( АППГ: </w:t>
      </w:r>
      <w:r>
        <w:rPr>
          <w:rFonts w:ascii="Times New Roman" w:hAnsi="Times New Roman"/>
          <w:b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15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6 случаев повторных обращений граждан (АППГ: </w:t>
      </w: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обращений, уменьшение на 50%). </w:t>
      </w:r>
      <w:r>
        <w:rPr>
          <w:rFonts w:ascii="Times New Roman" w:hAnsi="Times New Roman"/>
          <w:color w:val="000000"/>
          <w:sz w:val="28"/>
          <w:szCs w:val="28"/>
        </w:rPr>
        <w:t>Проведенный анализ обращений установил, что повторные обращения в Главное управление связаны: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устранением нарушений требований пожарной безопасности, по результатам рассмотрения первого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составляет 15,3</w:t>
      </w:r>
      <w:r>
        <w:rPr>
          <w:rFonts w:ascii="Times New Roman" w:hAnsi="Times New Roman"/>
          <w:color w:val="000000"/>
          <w:sz w:val="28"/>
          <w:szCs w:val="28"/>
        </w:rPr>
        <w:t xml:space="preserve">%). Обращения связаны с пожарной безопасностью в местах общего пользования многоквартирных домов (эвакуационных выходов, противодымной защиты, комплектность противопожарных ящиков и т.д.).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 общего количества обращений, поступивших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2023 года, 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обращений перенаправлено по компетенции в иные государственные органы власти (АППГ: 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обращения, уменьшение на 43%) (</w:t>
      </w:r>
      <w:r>
        <w:rPr>
          <w:rFonts w:ascii="Times New Roman" w:hAnsi="Times New Roman"/>
          <w:i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ascii="Times New Roman" w:hAnsi="Times New Roman"/>
          <w:b/>
          <w:bCs/>
          <w:sz w:val="28"/>
          <w:szCs w:val="28"/>
        </w:rPr>
        <w:t>573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составило 116</w:t>
      </w:r>
      <w:r>
        <w:rPr>
          <w:rFonts w:ascii="Times New Roman" w:hAnsi="Times New Roman"/>
          <w:color w:val="000000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 в основном обращались, по пожарной безопасности в местах общего пользования многоквартирных домов (системы эвакуации, противодымной защиты, комплектность противопожарных ящиков в многоквартирных домах и т.д.), а также с вопросами  связанными с противопожарной службой, нарушение норм пожарной безопасности (заброшенные, не убранные от сухой растительности соседние участки и т. д.).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За отчетный период жалоб от личного состава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финансовых управляющих и граждан о наличии или отсутствие маломерных судов, зарегистрированных за гражданами - </w:t>
      </w:r>
      <w:r>
        <w:rPr>
          <w:rFonts w:ascii="Times New Roman" w:hAnsi="Times New Roman"/>
          <w:b/>
          <w:bCs/>
          <w:sz w:val="28"/>
          <w:szCs w:val="28"/>
        </w:rPr>
        <w:t>69</w:t>
      </w:r>
      <w:r>
        <w:rPr>
          <w:rFonts w:ascii="Times New Roman" w:hAnsi="Times New Roman"/>
          <w:bCs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АППГ: </w:t>
      </w:r>
      <w:r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запроса, увеличение на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-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обращения, уменьшение составило 81,2%). Это вопросы, связанные с аварийностью жилых многоквартирных домов, получение информации по правилам поведения и порядку действий при возникновении чрезвычайной ситуации в городе Тюмени, и связанные с чрезвычайной ситуацией, объявленной в Тюменской области по причине крупных природных пожаров и переходом на населённые пункты.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ascii="Times New Roman" w:hAnsi="Times New Roman"/>
          <w:b/>
          <w:bCs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граждан, увеличение на 187,5</w:t>
      </w:r>
      <w:r>
        <w:rPr>
          <w:rFonts w:ascii="Times New Roman" w:hAnsi="Times New Roman"/>
          <w:color w:val="000000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В основном это вопросы, связанные с </w:t>
      </w:r>
      <w:r>
        <w:rPr>
          <w:rFonts w:ascii="Times New Roman" w:hAnsi="Times New Roman"/>
          <w:sz w:val="28"/>
          <w:szCs w:val="28"/>
          <w:lang w:eastAsia="ru-RU"/>
        </w:rPr>
        <w:t>прекращением рассмотрением обращения, с результатами рассмотрением обращения, с представлением дополнительных документов и материалов, а так же благодарности, пожелания сотрудникам.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 граждан и организаций, на рассмотрении находится — 74 обращения. Обращения, рассмотренные с нарушением сроков — отсутствуют.  В установленные сроки рассмотрено — 684 обращений, из них: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Дан ответу автору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194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173 </w:t>
      </w:r>
      <w:r>
        <w:rPr>
          <w:rFonts w:ascii="Times New Roman" w:hAnsi="Times New Roman"/>
          <w:sz w:val="28"/>
          <w:szCs w:val="28"/>
          <w:lang w:eastAsia="ru-RU"/>
        </w:rPr>
        <w:t>обращения);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разъяснено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468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203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не поддержано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Рассмотрено, поддержано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Оставлено без ответа автору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Направлено по компетенции —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(АППГ: 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>
      <w:pPr>
        <w:pStyle w:val="Style141"/>
        <w:spacing w:lineRule="auto" w:line="240"/>
        <w:ind w:firstLine="709"/>
        <w:rPr/>
      </w:pPr>
      <w:r>
        <w:rPr>
          <w:sz w:val="28"/>
          <w:szCs w:val="28"/>
        </w:rPr>
        <w:t>На постоянной основе ведется прием обращений граждан в электронном виде через электронные каналы (Госуслуги РФ, сайт Главного управления, электронная почта</w:t>
      </w:r>
      <w:r>
        <w:rPr>
          <w:rStyle w:val="FontStyle29"/>
          <w:sz w:val="28"/>
          <w:szCs w:val="28"/>
        </w:rPr>
        <w:t>, 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sz w:val="28"/>
          <w:szCs w:val="28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/>
      </w:pPr>
      <w:r>
        <w:rPr>
          <w:sz w:val="28"/>
          <w:szCs w:val="28"/>
          <w:lang w:eastAsia="ru-RU"/>
        </w:rPr>
        <w:t>В период II квартала на личном приеме у руководства ГУ МЧС России по Тюменской области были на обсуждении вопросы по следующим темам: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нарушение норм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вопрос перевода сотрудника из территориального подразделения 18 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ПСО г. Ишим, в подразделение г. Тюмени;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вопрос перекрытия проезда, незаконное установление шлагбаума. 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По итогам приема гражданам даны мотивированные ответы.</w:t>
      </w:r>
    </w:p>
    <w:p>
      <w:pPr>
        <w:pStyle w:val="Style141"/>
        <w:spacing w:lineRule="auto" w:line="240"/>
        <w:ind w:firstLine="709"/>
        <w:rPr/>
      </w:pPr>
      <w:r>
        <w:rPr>
          <w:sz w:val="28"/>
          <w:szCs w:val="28"/>
        </w:rPr>
        <w:t>За отчетный период проверок деятельности территориальных органов МЧС России по Тюменской области в части рассмотрения обращений граждан, проводимых органами прокуратуры Российской Федерации не проводилось.</w:t>
      </w:r>
    </w:p>
    <w:p>
      <w:pPr>
        <w:pStyle w:val="Style141"/>
        <w:spacing w:lineRule="auto" w:line="240"/>
        <w:ind w:firstLine="709"/>
        <w:rPr/>
      </w:pPr>
      <w:r>
        <w:rPr>
          <w:sz w:val="28"/>
          <w:szCs w:val="28"/>
        </w:rPr>
        <w:t>В целях устранения причин, послуживших основанием для обращений граждан, необходимо проводить профилактическую работу с населением в области соблюдение норм пожарной безопасности, увеличить информирование населения в мессенджерах по вопросам пожарной безопасности и гражданской обороны, размещать на сайте Главного управления, актуализированные нормативные правовые акты.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деятельности, послуживших основанием для обращений граждан, необходимо усилить работу по информированию граждан о порядке рассмотрения обращения  и проведения личного приема должностными лицами территориального органа МЧС России. 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Заключено соглашение о взаимодействии Уполномоченного по правам человека в Тюменской области с Главным управлением МЧС России по Тюменской области от 24.05.2022 № 190с/30.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период, мероприятия в рамках взаимодействия с Уполномоченным по правам человека в Тюменской области в Главном управлении не проводились. 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2023 год,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 xml:space="preserve">работы с обращениями граждан в Главном управлении МЧС России по Тюменской области за </w:t>
      </w:r>
      <w:r>
        <w:rPr>
          <w:rFonts w:cs="Times New Roman" w:ascii="Times New Roman" w:hAnsi="Times New Roman"/>
          <w:b/>
          <w:szCs w:val="28"/>
          <w:lang w:val="en-US"/>
        </w:rPr>
        <w:t>II</w:t>
      </w:r>
      <w:r>
        <w:rPr>
          <w:rFonts w:cs="Times New Roman" w:ascii="Times New Roman" w:hAnsi="Times New Roman"/>
          <w:b/>
          <w:szCs w:val="28"/>
        </w:rPr>
        <w:t xml:space="preserve"> квартал 2023 г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9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000"/>
      </w:tblPr>
      <w:tblGrid>
        <w:gridCol w:w="7488"/>
        <w:gridCol w:w="2270"/>
      </w:tblGrid>
      <w:tr>
        <w:trPr>
          <w:tblHeader w:val="true"/>
        </w:trPr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 xml:space="preserve">год, </w:t>
            </w:r>
            <w:r>
              <w:rPr>
                <w:rFonts w:cs="Times New Roman" w:ascii="Times New Roman" w:hAnsi="Times New Roman"/>
                <w:b/>
                <w:bCs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 xml:space="preserve"> квартал 2023 г.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758</w:t>
            </w:r>
          </w:p>
        </w:tc>
      </w:tr>
      <w:tr>
        <w:trPr>
          <w:trHeight w:val="135" w:hRule="atLeast"/>
        </w:trPr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591</w:t>
            </w:r>
          </w:p>
        </w:tc>
      </w:tr>
      <w:tr>
        <w:trPr>
          <w:trHeight w:val="323" w:hRule="atLeast"/>
        </w:trPr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zh-CN" w:bidi="ar-SA"/>
              </w:rPr>
              <w:t>167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5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анонимно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9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PT Astra Serif" w:hAnsi="PT Astra Serif" w:eastAsia="Source Han Sans CN Regular" w:cs="PT Astra Serif"/>
                <w:b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Source Han Sans CN Regular" w:cs="PT Astra Serif"/>
                <w:b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758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20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342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234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107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94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468</w:t>
            </w:r>
          </w:p>
        </w:tc>
      </w:tr>
      <w:tr>
        <w:trPr/>
        <w:tc>
          <w:tcPr>
            <w:tcW w:w="7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</w:tr>
    </w:tbl>
    <w:p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200"/>
        <w:rPr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57100813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327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12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6c1211"/>
    <w:rPr>
      <w:rFonts w:ascii="Times New Roman" w:hAnsi="Times New Roman" w:cs="Times New Roman"/>
      <w:sz w:val="24"/>
      <w:szCs w:val="24"/>
    </w:rPr>
  </w:style>
  <w:style w:type="character" w:styleId="Style14" w:customStyle="1">
    <w:name w:val="Символ нумерации"/>
    <w:qFormat/>
    <w:rsid w:val="009e52a9"/>
    <w:rPr/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41648"/>
    <w:rPr>
      <w:rFonts w:eastAsia="Times New Roman" w:cs="Times New Roman"/>
      <w:sz w:val="22"/>
      <w:lang w:eastAsia="zh-CN"/>
    </w:rPr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541648"/>
    <w:rPr>
      <w:rFonts w:eastAsia="Times New Roman" w:cs="Times New Roman"/>
      <w:sz w:val="22"/>
      <w:lang w:eastAsia="zh-CN"/>
    </w:rPr>
  </w:style>
  <w:style w:type="paragraph" w:styleId="Style17" w:customStyle="1">
    <w:name w:val="Заголовок"/>
    <w:basedOn w:val="Normal"/>
    <w:next w:val="Style18"/>
    <w:qFormat/>
    <w:rsid w:val="009e52a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9e52a9"/>
    <w:pPr>
      <w:spacing w:before="0" w:after="140"/>
    </w:pPr>
    <w:rPr/>
  </w:style>
  <w:style w:type="paragraph" w:styleId="Style19">
    <w:name w:val="List"/>
    <w:basedOn w:val="Style18"/>
    <w:rsid w:val="009e52a9"/>
    <w:pPr/>
    <w:rPr>
      <w:rFonts w:ascii="PT Astra Serif" w:hAnsi="PT Astra Serif" w:cs="Noto Sans Devanagari"/>
    </w:rPr>
  </w:style>
  <w:style w:type="paragraph" w:styleId="Style20" w:customStyle="1">
    <w:name w:val="Caption"/>
    <w:basedOn w:val="Normal"/>
    <w:qFormat/>
    <w:rsid w:val="009e52a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e52a9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6c1211"/>
    <w:pPr>
      <w:spacing w:before="0" w:after="200"/>
      <w:ind w:left="720" w:hanging="0"/>
      <w:contextualSpacing/>
    </w:pPr>
    <w:rPr/>
  </w:style>
  <w:style w:type="paragraph" w:styleId="Style141" w:customStyle="1">
    <w:name w:val="Style14"/>
    <w:basedOn w:val="Normal"/>
    <w:qFormat/>
    <w:rsid w:val="006c1211"/>
    <w:pPr>
      <w:widowControl w:val="false"/>
      <w:spacing w:lineRule="exact" w:line="326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541648"/>
    <w:pPr>
      <w:tabs>
        <w:tab w:val="clear" w:pos="32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semiHidden/>
    <w:unhideWhenUsed/>
    <w:rsid w:val="00541648"/>
    <w:pPr>
      <w:tabs>
        <w:tab w:val="clear" w:pos="32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42110"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245E-F530-4AD5-BCCB-4DB12B3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LibreOffice/6.4.4.2$Linux_X86_64 LibreOffice_project/40$Build-2</Application>
  <Pages>4</Pages>
  <Words>940</Words>
  <Characters>6238</Characters>
  <CharactersWithSpaces>7137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2023-04-06T09:44:00Z</dcterms:created>
  <dc:creator>e.v.makachko</dc:creator>
  <dc:description/>
  <dc:language>ru-RU</dc:language>
  <cp:lastModifiedBy/>
  <cp:lastPrinted>2022-10-05T14:18:00Z</cp:lastPrinted>
  <dcterms:modified xsi:type="dcterms:W3CDTF">2023-07-07T10:06:34Z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