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2B" w:rsidRDefault="0033752B" w:rsidP="00337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148F">
        <w:rPr>
          <w:rFonts w:ascii="Times New Roman" w:hAnsi="Times New Roman"/>
          <w:b/>
          <w:sz w:val="26"/>
          <w:szCs w:val="26"/>
        </w:rPr>
        <w:t xml:space="preserve">Анализ работы с обращениями граждан в Главном управлении МЧС России по Тюменской области за </w:t>
      </w:r>
      <w:r w:rsidRPr="0054148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4148F">
        <w:rPr>
          <w:rFonts w:ascii="Times New Roman" w:hAnsi="Times New Roman"/>
          <w:b/>
          <w:sz w:val="26"/>
          <w:szCs w:val="26"/>
        </w:rPr>
        <w:t xml:space="preserve"> квартал 202</w:t>
      </w:r>
      <w:r>
        <w:rPr>
          <w:rFonts w:ascii="Times New Roman" w:hAnsi="Times New Roman"/>
          <w:b/>
          <w:sz w:val="26"/>
          <w:szCs w:val="26"/>
        </w:rPr>
        <w:t>4</w:t>
      </w:r>
      <w:r w:rsidRPr="0054148F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33752B" w:rsidRDefault="0033752B" w:rsidP="00337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752B" w:rsidRDefault="0033752B" w:rsidP="003375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752B" w:rsidRDefault="0033752B" w:rsidP="0033752B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года в адрес Главного управления МЧС России по Тюменской области (далее – Главное управление)  поступило и было поставлено на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400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лиц, за аналогичный период прошлого года (далее - АППГ) —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371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A39">
        <w:rPr>
          <w:rFonts w:ascii="Times New Roman" w:hAnsi="Times New Roman"/>
          <w:sz w:val="28"/>
          <w:szCs w:val="28"/>
        </w:rPr>
        <w:t xml:space="preserve">обращение, увеличение составило </w:t>
      </w:r>
      <w:r w:rsidRPr="005C5A39">
        <w:rPr>
          <w:rFonts w:ascii="Times New Roman" w:eastAsia="Times New Roman" w:hAnsi="Times New Roman" w:cs="Times New Roman"/>
          <w:sz w:val="28"/>
          <w:szCs w:val="28"/>
          <w:lang w:eastAsia="zh-CN"/>
        </w:rPr>
        <w:t>8%</w:t>
      </w:r>
      <w:r w:rsidRPr="005C5A39">
        <w:rPr>
          <w:rFonts w:ascii="Times New Roman" w:hAnsi="Times New Roman"/>
          <w:color w:val="000000"/>
          <w:sz w:val="28"/>
          <w:szCs w:val="28"/>
        </w:rPr>
        <w:t>)</w:t>
      </w:r>
      <w:r w:rsidRPr="005C5A39">
        <w:rPr>
          <w:rFonts w:ascii="Times New Roman" w:hAnsi="Times New Roman"/>
          <w:sz w:val="28"/>
          <w:szCs w:val="28"/>
        </w:rPr>
        <w:t>.</w:t>
      </w:r>
      <w:proofErr w:type="gramEnd"/>
    </w:p>
    <w:p w:rsidR="0033752B" w:rsidRDefault="0033752B" w:rsidP="00337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352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320</w:t>
      </w:r>
      <w:r>
        <w:rPr>
          <w:rFonts w:ascii="Times New Roman" w:hAnsi="Times New Roman"/>
          <w:sz w:val="28"/>
          <w:szCs w:val="28"/>
        </w:rPr>
        <w:t xml:space="preserve"> обращений, </w:t>
      </w:r>
      <w:r w:rsidRPr="005C5A39">
        <w:rPr>
          <w:rFonts w:ascii="Times New Roman" w:hAnsi="Times New Roman"/>
          <w:sz w:val="28"/>
          <w:szCs w:val="28"/>
        </w:rPr>
        <w:t xml:space="preserve">увеличение составляет </w:t>
      </w:r>
      <w:r w:rsidRPr="005C5A3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5C5A39">
        <w:rPr>
          <w:rFonts w:ascii="Times New Roman" w:hAnsi="Times New Roman"/>
          <w:sz w:val="28"/>
          <w:szCs w:val="28"/>
        </w:rPr>
        <w:t>%),</w:t>
      </w:r>
      <w:r>
        <w:rPr>
          <w:rFonts w:ascii="Times New Roman" w:hAnsi="Times New Roman"/>
          <w:sz w:val="28"/>
          <w:szCs w:val="28"/>
        </w:rPr>
        <w:t xml:space="preserve">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обращений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обращение, </w:t>
      </w:r>
      <w:r w:rsidRPr="005C5A39">
        <w:rPr>
          <w:rFonts w:ascii="Times New Roman" w:hAnsi="Times New Roman"/>
          <w:sz w:val="28"/>
          <w:szCs w:val="28"/>
        </w:rPr>
        <w:t>у</w:t>
      </w:r>
      <w:r w:rsidRPr="005C5A3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меньшение</w:t>
      </w:r>
      <w:r w:rsidRPr="005C5A39">
        <w:rPr>
          <w:rFonts w:ascii="Times New Roman" w:hAnsi="Times New Roman"/>
          <w:sz w:val="28"/>
          <w:szCs w:val="28"/>
        </w:rPr>
        <w:t xml:space="preserve"> составило </w:t>
      </w:r>
      <w:r w:rsidRPr="005C5A3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5C5A39">
        <w:rPr>
          <w:rFonts w:ascii="Times New Roman" w:hAnsi="Times New Roman"/>
          <w:sz w:val="28"/>
          <w:szCs w:val="28"/>
        </w:rPr>
        <w:t>%).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не выявлено случаев повторных обращений граждан (АППГ: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обращения). 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C5A39">
        <w:rPr>
          <w:rFonts w:ascii="Times New Roman" w:hAnsi="Times New Roman"/>
          <w:sz w:val="28"/>
          <w:szCs w:val="28"/>
        </w:rPr>
        <w:t>у</w:t>
      </w:r>
      <w:r w:rsidRPr="005C5A3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меньшение</w:t>
      </w:r>
      <w:r w:rsidRPr="005C5A39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Pr="005C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21%</w:t>
      </w:r>
      <w:r w:rsidRPr="005C5A39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3B89">
        <w:rPr>
          <w:rFonts w:ascii="Times New Roman" w:hAnsi="Times New Roman"/>
          <w:color w:val="000000"/>
          <w:sz w:val="28"/>
          <w:szCs w:val="28"/>
        </w:rPr>
        <w:t>Обращения связаны с</w:t>
      </w:r>
      <w:r>
        <w:rPr>
          <w:rFonts w:ascii="Times New Roman" w:hAnsi="Times New Roman"/>
          <w:color w:val="000000"/>
          <w:sz w:val="28"/>
          <w:szCs w:val="28"/>
        </w:rPr>
        <w:t xml:space="preserve"> бездействием управляющих компаний по вопросам</w:t>
      </w:r>
      <w:r w:rsidRPr="00AE3B89">
        <w:rPr>
          <w:rFonts w:ascii="Times New Roman" w:hAnsi="Times New Roman"/>
          <w:color w:val="000000"/>
          <w:sz w:val="28"/>
          <w:szCs w:val="28"/>
        </w:rPr>
        <w:t xml:space="preserve"> пожарной безопасност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E3B89">
        <w:rPr>
          <w:rFonts w:ascii="Times New Roman" w:hAnsi="Times New Roman"/>
          <w:color w:val="000000"/>
          <w:sz w:val="28"/>
          <w:szCs w:val="28"/>
        </w:rPr>
        <w:t xml:space="preserve"> в местах общего пользования многоквартирных домов (</w:t>
      </w:r>
      <w:proofErr w:type="spellStart"/>
      <w:r w:rsidRPr="00AE3B89">
        <w:rPr>
          <w:rFonts w:ascii="Times New Roman" w:hAnsi="Times New Roman"/>
          <w:color w:val="000000"/>
          <w:sz w:val="28"/>
          <w:szCs w:val="28"/>
        </w:rPr>
        <w:t>противодымной</w:t>
      </w:r>
      <w:proofErr w:type="spellEnd"/>
      <w:r w:rsidRPr="00AE3B89">
        <w:rPr>
          <w:rFonts w:ascii="Times New Roman" w:hAnsi="Times New Roman"/>
          <w:color w:val="000000"/>
          <w:sz w:val="28"/>
          <w:szCs w:val="28"/>
        </w:rPr>
        <w:t xml:space="preserve"> защиты, аварийное состояние </w:t>
      </w:r>
      <w:proofErr w:type="spellStart"/>
      <w:r w:rsidRPr="00AE3B89">
        <w:rPr>
          <w:rFonts w:ascii="Times New Roman" w:hAnsi="Times New Roman"/>
          <w:color w:val="000000"/>
          <w:sz w:val="28"/>
          <w:szCs w:val="28"/>
        </w:rPr>
        <w:t>электрощитового</w:t>
      </w:r>
      <w:proofErr w:type="spellEnd"/>
      <w:r w:rsidRPr="00AE3B89">
        <w:rPr>
          <w:rFonts w:ascii="Times New Roman" w:hAnsi="Times New Roman"/>
          <w:color w:val="000000"/>
          <w:sz w:val="28"/>
          <w:szCs w:val="28"/>
        </w:rPr>
        <w:t xml:space="preserve"> оборудования, пожарные гидранты в нерабочем состоянии, комплектность противопожарных ящиков, отсутствие проезда спецтехники экстренных служб и иных транспортных средств служб МЧС и т.д.).</w:t>
      </w:r>
      <w:proofErr w:type="gramEnd"/>
      <w:r w:rsidRPr="00AE3B89">
        <w:rPr>
          <w:rFonts w:ascii="Times New Roman" w:hAnsi="Times New Roman"/>
          <w:color w:val="000000"/>
          <w:sz w:val="28"/>
          <w:szCs w:val="28"/>
        </w:rPr>
        <w:t xml:space="preserve"> А так же </w:t>
      </w:r>
      <w:r>
        <w:rPr>
          <w:rFonts w:ascii="Times New Roman" w:hAnsi="Times New Roman"/>
          <w:color w:val="000000"/>
          <w:sz w:val="28"/>
          <w:szCs w:val="28"/>
        </w:rPr>
        <w:t>по вопросу установки системы противопожарной защиты, системы наружного водоснабжения в соответствии с Федеральным законом от 22 июля 2008 г. №123-ФЗ «Технический регламент о требованиях пожарной безопасности».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общего количества обращений, поступивших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2024 года,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14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обращений перенаправлено по компетенции в иные государственные органы власти (АППГ: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обращений)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 (далее – № 59-ФЗ).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244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обращения (АППГ: 182 обращения, </w:t>
      </w:r>
      <w:r w:rsidRPr="005C5A39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составило </w:t>
      </w:r>
      <w:r w:rsidRPr="005C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34</w:t>
      </w:r>
      <w:r w:rsidRPr="00AE3B89">
        <w:rPr>
          <w:rFonts w:ascii="Times New Roman" w:hAnsi="Times New Roman"/>
          <w:bCs/>
          <w:color w:val="000000"/>
          <w:sz w:val="28"/>
          <w:szCs w:val="28"/>
        </w:rPr>
        <w:t xml:space="preserve">%). Граждане в основном обращались, по пожарной безопасности в местах общего пользования многоквартирных домов (системы эвакуации, </w:t>
      </w:r>
      <w:proofErr w:type="spellStart"/>
      <w:r w:rsidRPr="00AE3B89">
        <w:rPr>
          <w:rFonts w:ascii="Times New Roman" w:hAnsi="Times New Roman"/>
          <w:bCs/>
          <w:color w:val="000000"/>
          <w:sz w:val="28"/>
          <w:szCs w:val="28"/>
        </w:rPr>
        <w:t>противодымной</w:t>
      </w:r>
      <w:proofErr w:type="spellEnd"/>
      <w:r w:rsidRPr="00AE3B89">
        <w:rPr>
          <w:rFonts w:ascii="Times New Roman" w:hAnsi="Times New Roman"/>
          <w:bCs/>
          <w:color w:val="000000"/>
          <w:sz w:val="28"/>
          <w:szCs w:val="28"/>
        </w:rPr>
        <w:t xml:space="preserve"> защиты, комплектность противопожарных ящиков в многоквартирных домах и т.д.), а также с вопросами  связанных с </w:t>
      </w:r>
      <w:r>
        <w:rPr>
          <w:rFonts w:ascii="Times New Roman" w:hAnsi="Times New Roman"/>
          <w:bCs/>
          <w:color w:val="000000"/>
          <w:sz w:val="28"/>
          <w:szCs w:val="28"/>
        </w:rPr>
        <w:t>нарушением требований пожарной безопасности индивидуальными предпринимателями и юридическими лицами.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физических лиц о наличии или отсутствие маломерных судов, зарегистрированных за гражданами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110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запросов, </w:t>
      </w:r>
      <w:r w:rsidRPr="00293945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на </w:t>
      </w:r>
      <w:r>
        <w:rPr>
          <w:rFonts w:ascii="Times New Roman" w:hAnsi="Times New Roman"/>
          <w:bCs/>
          <w:color w:val="000000"/>
          <w:sz w:val="28"/>
          <w:szCs w:val="28"/>
        </w:rPr>
        <w:t>14</w:t>
      </w:r>
      <w:r w:rsidRPr="00293945">
        <w:rPr>
          <w:rFonts w:ascii="Times New Roman" w:hAnsi="Times New Roman"/>
          <w:bCs/>
          <w:color w:val="000000"/>
          <w:sz w:val="28"/>
          <w:szCs w:val="28"/>
        </w:rPr>
        <w:t>%).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5 </w:t>
      </w:r>
      <w:r>
        <w:rPr>
          <w:rFonts w:ascii="Times New Roman" w:hAnsi="Times New Roman"/>
          <w:bCs/>
          <w:color w:val="000000"/>
          <w:sz w:val="28"/>
          <w:szCs w:val="28"/>
        </w:rPr>
        <w:t>обращений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 w:rsidRPr="0027775A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обращений, </w:t>
      </w:r>
      <w:r w:rsidRPr="00293945">
        <w:rPr>
          <w:rFonts w:ascii="Times New Roman" w:hAnsi="Times New Roman"/>
          <w:bCs/>
          <w:color w:val="000000"/>
          <w:sz w:val="28"/>
          <w:szCs w:val="28"/>
        </w:rPr>
        <w:t xml:space="preserve">уменьшение составило </w:t>
      </w:r>
      <w:r w:rsidRPr="002939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58</w:t>
      </w:r>
      <w:r w:rsidRPr="00293945">
        <w:rPr>
          <w:rFonts w:ascii="Times New Roman" w:hAnsi="Times New Roman"/>
          <w:bCs/>
          <w:color w:val="000000"/>
          <w:sz w:val="28"/>
          <w:szCs w:val="28"/>
        </w:rPr>
        <w:t>%).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3B89">
        <w:rPr>
          <w:rFonts w:ascii="Times New Roman" w:hAnsi="Times New Roman"/>
          <w:bCs/>
          <w:color w:val="000000"/>
          <w:sz w:val="28"/>
          <w:szCs w:val="28"/>
        </w:rPr>
        <w:t>Это вопросы, связанные с ликвидацией последствий стихийных бедствий и чрезвычайных происшествий, предупреждение чрезвычайных ситуаций природного и техногенного характера, преодоление последствий и экологической безопасностью.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3752B" w:rsidRPr="00147075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 (АППГ: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граждан, </w:t>
      </w:r>
      <w:r w:rsidRPr="00293945">
        <w:rPr>
          <w:rFonts w:ascii="Times New Roman" w:hAnsi="Times New Roman"/>
          <w:bCs/>
          <w:color w:val="000000"/>
          <w:sz w:val="28"/>
          <w:szCs w:val="28"/>
        </w:rPr>
        <w:t xml:space="preserve">уменьшение на </w:t>
      </w:r>
      <w:r w:rsidRPr="002939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50</w:t>
      </w:r>
      <w:r w:rsidRPr="00293945">
        <w:rPr>
          <w:rFonts w:ascii="Times New Roman" w:hAnsi="Times New Roman"/>
          <w:bCs/>
          <w:color w:val="000000"/>
          <w:sz w:val="28"/>
          <w:szCs w:val="28"/>
        </w:rPr>
        <w:t>%).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147075">
        <w:rPr>
          <w:rFonts w:ascii="Times New Roman" w:hAnsi="Times New Roman"/>
          <w:bCs/>
          <w:sz w:val="28"/>
          <w:szCs w:val="28"/>
        </w:rPr>
        <w:t>В основном это заявления, связанные с представлением дополнительных документов и материалов по обращению, а так же с прекращением рассмотрения ранее поданного обращения.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и организаций, на рассмотрении находится —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обращений. Обращения, рассмотренные с нарушением сроков — отсутствуют.  В установленные сроки рассмотрено — </w:t>
      </w:r>
      <w:r>
        <w:rPr>
          <w:rFonts w:ascii="Times New Roman" w:eastAsia="Times New Roman" w:hAnsi="Times New Roman" w:cs="Times New Roman"/>
          <w:sz w:val="28"/>
          <w:szCs w:val="28"/>
        </w:rPr>
        <w:t>331 обращение.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Дан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ответу автору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98 </w:t>
      </w: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 xml:space="preserve">212 </w:t>
      </w:r>
      <w:r>
        <w:rPr>
          <w:rFonts w:ascii="Times New Roman" w:hAnsi="Times New Roman"/>
          <w:sz w:val="28"/>
          <w:szCs w:val="28"/>
        </w:rPr>
        <w:t>обращений);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Рассмотрено, разъяснено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Рассмотрено, не поддержано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обращения);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Рассмотрено, поддержано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Оставлено без ответа автору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обращений);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(АППГ: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 w:rsidR="0033752B" w:rsidRDefault="0033752B" w:rsidP="0033752B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Направлено по компетенции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(АППГ: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обращений).</w:t>
      </w:r>
    </w:p>
    <w:p w:rsidR="0033752B" w:rsidRDefault="0033752B" w:rsidP="003375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075">
        <w:rPr>
          <w:rFonts w:ascii="Times New Roman" w:hAnsi="Times New Roman"/>
          <w:bCs/>
          <w:sz w:val="28"/>
          <w:szCs w:val="28"/>
        </w:rPr>
        <w:t>Увеличение активности граждан по отдельным темам связанно с вопросами работы противопожарной службы и соблюдения требований пожарной безопасности.</w:t>
      </w:r>
    </w:p>
    <w:p w:rsidR="0033752B" w:rsidRPr="0054148F" w:rsidRDefault="0033752B" w:rsidP="0033752B">
      <w:pPr>
        <w:pStyle w:val="Style14"/>
        <w:spacing w:line="240" w:lineRule="auto"/>
        <w:ind w:firstLine="709"/>
        <w:rPr>
          <w:sz w:val="26"/>
          <w:szCs w:val="26"/>
        </w:rPr>
      </w:pPr>
      <w:r w:rsidRPr="0054148F">
        <w:rPr>
          <w:sz w:val="26"/>
          <w:szCs w:val="26"/>
        </w:rPr>
        <w:t>На постоянной основе ведется прием обращений граждан в электронном виде через электронные каналы (</w:t>
      </w:r>
      <w:proofErr w:type="spellStart"/>
      <w:r w:rsidRPr="0054148F">
        <w:rPr>
          <w:sz w:val="26"/>
          <w:szCs w:val="26"/>
        </w:rPr>
        <w:t>Госуслуги</w:t>
      </w:r>
      <w:proofErr w:type="spellEnd"/>
      <w:r w:rsidRPr="0054148F">
        <w:rPr>
          <w:sz w:val="26"/>
          <w:szCs w:val="26"/>
        </w:rPr>
        <w:t xml:space="preserve"> РФ, сайт Главного управления, </w:t>
      </w:r>
      <w:r w:rsidRPr="0054148F">
        <w:rPr>
          <w:rStyle w:val="FontStyle29"/>
          <w:sz w:val="26"/>
          <w:szCs w:val="26"/>
        </w:rPr>
        <w:t>информационный ресурс сетевого справочного телефонного узла - ССТУ</w:t>
      </w:r>
      <w:proofErr w:type="gramStart"/>
      <w:r w:rsidRPr="0054148F">
        <w:rPr>
          <w:rStyle w:val="FontStyle29"/>
          <w:sz w:val="26"/>
          <w:szCs w:val="26"/>
        </w:rPr>
        <w:t>.Р</w:t>
      </w:r>
      <w:proofErr w:type="gramEnd"/>
      <w:r w:rsidRPr="0054148F">
        <w:rPr>
          <w:rStyle w:val="FontStyle29"/>
          <w:sz w:val="26"/>
          <w:szCs w:val="26"/>
        </w:rPr>
        <w:t>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 w:rsidRPr="0054148F">
        <w:rPr>
          <w:sz w:val="26"/>
          <w:szCs w:val="26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 w:rsidR="0033752B" w:rsidRPr="0054148F" w:rsidRDefault="0033752B" w:rsidP="0033752B">
      <w:pPr>
        <w:pStyle w:val="Style14"/>
        <w:spacing w:line="240" w:lineRule="auto"/>
        <w:ind w:firstLine="709"/>
        <w:rPr>
          <w:sz w:val="26"/>
          <w:szCs w:val="26"/>
        </w:rPr>
      </w:pPr>
      <w:r w:rsidRPr="0054148F">
        <w:rPr>
          <w:sz w:val="26"/>
          <w:szCs w:val="26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 w:rsidRPr="0054148F">
        <w:rPr>
          <w:sz w:val="26"/>
          <w:szCs w:val="26"/>
          <w:lang w:val="en-US"/>
        </w:rPr>
        <w:t>I</w:t>
      </w:r>
      <w:r w:rsidRPr="0054148F">
        <w:rPr>
          <w:sz w:val="26"/>
          <w:szCs w:val="26"/>
        </w:rPr>
        <w:t xml:space="preserve"> квартал 2023 год</w:t>
      </w:r>
      <w:r>
        <w:rPr>
          <w:sz w:val="26"/>
          <w:szCs w:val="26"/>
        </w:rPr>
        <w:t>а</w:t>
      </w:r>
      <w:r w:rsidRPr="0054148F">
        <w:rPr>
          <w:sz w:val="26"/>
          <w:szCs w:val="26"/>
        </w:rPr>
        <w:t>, были приняты, зарегистрированы и рассмотрены по существу в установленные законодательством сроки.</w:t>
      </w:r>
    </w:p>
    <w:p w:rsidR="0033752B" w:rsidRPr="00147075" w:rsidRDefault="0033752B" w:rsidP="0033752B">
      <w:pPr>
        <w:spacing w:after="0" w:line="240" w:lineRule="auto"/>
        <w:ind w:firstLine="709"/>
        <w:jc w:val="both"/>
      </w:pPr>
    </w:p>
    <w:p w:rsidR="0033752B" w:rsidRPr="0054148F" w:rsidRDefault="0033752B" w:rsidP="0033752B">
      <w:pPr>
        <w:spacing w:after="0" w:line="240" w:lineRule="auto"/>
        <w:jc w:val="center"/>
        <w:rPr>
          <w:sz w:val="26"/>
          <w:szCs w:val="26"/>
        </w:rPr>
      </w:pPr>
    </w:p>
    <w:p w:rsidR="0033752B" w:rsidRDefault="0033752B" w:rsidP="0033752B">
      <w:pPr>
        <w:pStyle w:val="Standard"/>
        <w:rPr>
          <w:rFonts w:ascii="Times New Roman" w:hAnsi="Times New Roman" w:cs="Times New Roman"/>
          <w:b/>
          <w:bCs/>
          <w:szCs w:val="28"/>
        </w:rPr>
      </w:pPr>
    </w:p>
    <w:p w:rsidR="0033752B" w:rsidRDefault="0033752B" w:rsidP="0033752B">
      <w:pPr>
        <w:pStyle w:val="Standard"/>
        <w:rPr>
          <w:rFonts w:ascii="Times New Roman" w:hAnsi="Times New Roman" w:cs="Times New Roman"/>
          <w:b/>
          <w:bCs/>
          <w:szCs w:val="28"/>
        </w:rPr>
      </w:pPr>
    </w:p>
    <w:p w:rsidR="0033752B" w:rsidRDefault="0033752B" w:rsidP="0033752B">
      <w:pPr>
        <w:pStyle w:val="Standard"/>
      </w:pPr>
      <w:r>
        <w:rPr>
          <w:rFonts w:ascii="Times New Roman" w:hAnsi="Times New Roman" w:cs="Times New Roman"/>
          <w:b/>
          <w:bCs/>
          <w:szCs w:val="28"/>
        </w:rPr>
        <w:lastRenderedPageBreak/>
        <w:t>Статистические данные</w:t>
      </w:r>
    </w:p>
    <w:p w:rsidR="0033752B" w:rsidRDefault="0033752B" w:rsidP="0033752B">
      <w:pPr>
        <w:pStyle w:val="Standard"/>
      </w:pPr>
      <w:r>
        <w:rPr>
          <w:rFonts w:ascii="Times New Roman" w:hAnsi="Times New Roman" w:cs="Times New Roman"/>
          <w:b/>
          <w:szCs w:val="28"/>
        </w:rPr>
        <w:t xml:space="preserve"> работы с обращениями граждан в Главном управлении МЧС России по Тюменской области за </w:t>
      </w:r>
      <w:r>
        <w:rPr>
          <w:rFonts w:ascii="Times New Roman" w:hAnsi="Times New Roman" w:cs="Times New Roman"/>
          <w:b/>
          <w:szCs w:val="28"/>
          <w:lang w:val="en-US"/>
        </w:rPr>
        <w:t>I</w:t>
      </w:r>
      <w:r w:rsidRPr="00D42110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квартал 2024 г</w:t>
      </w:r>
    </w:p>
    <w:p w:rsidR="0033752B" w:rsidRDefault="0033752B" w:rsidP="0033752B">
      <w:pPr>
        <w:pStyle w:val="Standard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7"/>
        <w:gridCol w:w="2272"/>
      </w:tblGrid>
      <w:tr w:rsidR="0033752B" w:rsidTr="006C7CF4">
        <w:trPr>
          <w:tblHeader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33752B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Отчетный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br/>
              <w:t xml:space="preserve">год, </w:t>
            </w:r>
            <w: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</w:t>
            </w:r>
            <w:r w:rsidRPr="00D42110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квартал 2024 г.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400</w:t>
            </w:r>
          </w:p>
        </w:tc>
      </w:tr>
      <w:tr w:rsidR="0033752B" w:rsidTr="006C7CF4">
        <w:trPr>
          <w:trHeight w:val="135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в электронном виде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33752B">
            <w:pPr>
              <w:pStyle w:val="Standard"/>
            </w:pPr>
            <w:r>
              <w:rPr>
                <w:b/>
                <w:bCs/>
                <w:szCs w:val="28"/>
              </w:rPr>
              <w:t>352</w:t>
            </w:r>
          </w:p>
        </w:tc>
      </w:tr>
      <w:tr w:rsidR="0033752B" w:rsidTr="006C7CF4">
        <w:trPr>
          <w:trHeight w:val="323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в письменном виде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>48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коллективных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11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повторных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0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анонимно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1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телефон доверия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400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33752B">
            <w:pPr>
              <w:pStyle w:val="Standard"/>
            </w:pPr>
            <w:r>
              <w:rPr>
                <w:b/>
                <w:bCs/>
                <w:szCs w:val="28"/>
              </w:rPr>
              <w:t>14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0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92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факты подтвердились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63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факты не подтвердились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33752B">
            <w:pPr>
              <w:pStyle w:val="Standard"/>
            </w:pPr>
            <w:r>
              <w:rPr>
                <w:b/>
                <w:bCs/>
                <w:szCs w:val="28"/>
              </w:rPr>
              <w:t>26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дан ответ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98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-рассмотрено. Разъяснено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</w:pPr>
            <w:r>
              <w:rPr>
                <w:b/>
                <w:bCs/>
                <w:szCs w:val="28"/>
              </w:rPr>
              <w:t>214</w:t>
            </w:r>
          </w:p>
        </w:tc>
      </w:tr>
      <w:tr w:rsidR="0033752B" w:rsidTr="006C7CF4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</w:t>
            </w:r>
            <w:r w:rsidRPr="0054148F">
              <w:rPr>
                <w:rFonts w:ascii="Times New Roman" w:hAnsi="Times New Roman"/>
                <w:sz w:val="26"/>
                <w:szCs w:val="26"/>
                <w:lang w:eastAsia="ru-RU"/>
              </w:rPr>
              <w:t>ставлено без ответа автору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33752B" w:rsidRDefault="0033752B" w:rsidP="006C7CF4">
            <w:pPr>
              <w:pStyle w:val="Standard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</w:tbl>
    <w:p w:rsidR="0033752B" w:rsidRDefault="0033752B" w:rsidP="0033752B"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</w:p>
    <w:p w:rsidR="0033752B" w:rsidRPr="0054148F" w:rsidRDefault="0033752B" w:rsidP="0033752B">
      <w:pPr>
        <w:rPr>
          <w:sz w:val="26"/>
          <w:szCs w:val="26"/>
        </w:rPr>
      </w:pPr>
    </w:p>
    <w:p w:rsidR="00667E23" w:rsidRDefault="00667E23"/>
    <w:sectPr w:rsidR="0066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752B"/>
    <w:rsid w:val="0033752B"/>
    <w:rsid w:val="0066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qFormat/>
    <w:rsid w:val="0033752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33752B"/>
    <w:pPr>
      <w:widowControl w:val="0"/>
      <w:suppressAutoHyphens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33752B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l.m.buchelnikova</dc:creator>
  <cp:keywords/>
  <dc:description/>
  <cp:lastModifiedBy>l.m.buchelnikova</cp:lastModifiedBy>
  <cp:revision>3</cp:revision>
  <dcterms:created xsi:type="dcterms:W3CDTF">2024-04-04T04:56:00Z</dcterms:created>
  <dcterms:modified xsi:type="dcterms:W3CDTF">2024-04-04T05:04:00Z</dcterms:modified>
</cp:coreProperties>
</file>