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>АНАЛИЗ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работе с обращениями граждан  </w:t>
      </w:r>
      <w:r>
        <w:rPr>
          <w:rFonts w:ascii="Times New Roman" w:hAnsi="Times New Roman"/>
          <w:b/>
          <w:sz w:val="28"/>
          <w:szCs w:val="28"/>
        </w:rPr>
        <w:t>в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>Главно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МЧС России по Тюменской области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>за 1 квартал 2022 год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первый квартал 2022 года в адрес Главного управления МЧС России по Тюменской области (далее – Главное управление)  поступило, и было поставлено на контроль </w:t>
      </w:r>
      <w:r>
        <w:rPr>
          <w:rFonts w:ascii="Times New Roman" w:hAnsi="Times New Roman"/>
          <w:b/>
          <w:sz w:val="28"/>
          <w:szCs w:val="28"/>
        </w:rPr>
        <w:t>260</w:t>
      </w:r>
      <w:r>
        <w:rPr>
          <w:rFonts w:ascii="Times New Roman" w:hAnsi="Times New Roman"/>
          <w:sz w:val="28"/>
          <w:szCs w:val="28"/>
        </w:rPr>
        <w:t xml:space="preserve"> заявлений, жалоб и предложений (далее – обращения) от физических и юридических лиц за аналогичный период прошлого года (далее - АППГ) — 316 обращений, уменьшилось на  18%).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Все поступившие обращения, классифицируются по следующим критериям: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По способу поступления: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 форме электронного документа – </w:t>
      </w:r>
      <w:r>
        <w:rPr>
          <w:rFonts w:ascii="Times New Roman" w:hAnsi="Times New Roman"/>
          <w:b/>
          <w:bCs/>
          <w:sz w:val="28"/>
          <w:szCs w:val="28"/>
        </w:rPr>
        <w:t>207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(АППГ: 264 обращений, уменьшение на 21,6%).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 В форме письменного заявления – </w:t>
      </w:r>
      <w:r>
        <w:rPr>
          <w:rFonts w:ascii="Times New Roman" w:hAnsi="Times New Roman"/>
          <w:b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обращения (АППГ: 52 обращений).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 «Телефон доверия» –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обращения.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Досудебное обжалование –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сравнении с аналогичным периодом прошлого года количество обращений, поступающих по электронным каналам связи, уменьшилось на 21,6 % в</w:t>
      </w:r>
      <w:r>
        <w:rPr>
          <w:rFonts w:ascii="Times New Roman" w:hAnsi="Times New Roman"/>
          <w:color w:val="000000"/>
          <w:sz w:val="28"/>
        </w:rPr>
        <w:t xml:space="preserve"> связи с проведением профилактической работы с населением.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По источнику поступления: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От граждан – </w:t>
      </w:r>
      <w:r>
        <w:rPr>
          <w:rFonts w:ascii="Times New Roman" w:hAnsi="Times New Roman"/>
          <w:b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Из других органов власти – </w:t>
      </w:r>
      <w:r>
        <w:rPr>
          <w:rFonts w:ascii="Times New Roman" w:hAnsi="Times New Roman"/>
          <w:b/>
          <w:sz w:val="28"/>
          <w:szCs w:val="28"/>
        </w:rPr>
        <w:t xml:space="preserve">104 </w:t>
      </w:r>
      <w:r>
        <w:rPr>
          <w:rFonts w:ascii="Times New Roman" w:hAnsi="Times New Roman"/>
          <w:sz w:val="28"/>
          <w:szCs w:val="28"/>
        </w:rPr>
        <w:t>обращений.</w:t>
      </w:r>
    </w:p>
    <w:p>
      <w:pPr>
        <w:pStyle w:val="Normal"/>
        <w:tabs>
          <w:tab w:val="clear" w:pos="408"/>
          <w:tab w:val="left" w:pos="142" w:leader="none"/>
        </w:tabs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Анонимные обращения –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 (АППГ: 5 обращений).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выявлено </w:t>
      </w:r>
      <w:r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случаев повторных обращений граждан (АППГ: 14 обращений, уменьшение на 28,5%). </w:t>
      </w:r>
      <w:r>
        <w:rPr>
          <w:rFonts w:ascii="Times New Roman" w:hAnsi="Times New Roman"/>
          <w:color w:val="000000"/>
          <w:sz w:val="28"/>
          <w:szCs w:val="28"/>
        </w:rPr>
        <w:t>Проведенный анализ обращений установил, что повторные обращения в Главное управление связаны с просьбой проведения контроля о выданных предписаниях, об устранении нарушений требований пожарной безопасности, по результатам рассмотрения первого обращения.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Из проанализированных обращений граждан зафиксировано 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коллективных обращений (АППГ: 14, умененьшение на 14%).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Обращения связаны с пожарной безопасностью в местах общего пользования многоквартирных домов (системы АПС, оповещения и эвакуации, противодымной защиты, противопожарный водопровод и т.д.).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 общего количества обращений, поступивших в 2022 году,                           </w:t>
      </w:r>
      <w:r>
        <w:rPr>
          <w:rFonts w:ascii="Times New Roman" w:hAnsi="Times New Roman"/>
          <w:b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 xml:space="preserve">обращений перенаправлено по компетенции в иные органы власти (в соответствие со ст. 8 </w:t>
      </w:r>
      <w:r>
        <w:rPr>
          <w:rFonts w:ascii="Times New Roman" w:hAnsi="Times New Roman"/>
          <w:bCs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Поступившие обращения (жалобы) не входящих в компетенцию Главного управления имеют следующую тематику:</w:t>
      </w:r>
    </w:p>
    <w:p>
      <w:pPr>
        <w:pStyle w:val="Normal"/>
        <w:spacing w:lineRule="auto" w:line="240" w:before="120" w:after="120"/>
        <w:ind w:firstLine="708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1. Аварийное состояние жилых домов, электрощитовых, котельных.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2.  Эксплуатация и ремонт частного жилищного фонда.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3.  Коммунальное хозяйство.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4. Экологическая безопасность.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 проведении анализа по обращениям граждан за отчетный период времени выявлены основные темы обращений в области пожарной безопасности: 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Противопожарная служба, соблюдение норм противопожарной безопасности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121</w:t>
      </w:r>
      <w:r>
        <w:rPr>
          <w:rFonts w:ascii="Times New Roman" w:hAnsi="Times New Roman"/>
          <w:bCs/>
          <w:sz w:val="28"/>
          <w:szCs w:val="28"/>
        </w:rPr>
        <w:t xml:space="preserve"> обращений.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Разъяснение и соблюдение требований по пожарной безопасности –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Создание пожарных водоемов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Создание и ликвидация пожарных частей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Предупреждение чрезвычайных ситуаций природного и техногенного характера, преодоление последствий –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Система обеспечения вызова экстренных оперативных служб по единому номеру 112 –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Гражданская оборона, территориальная оборона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Государственная инспекция по маломерным судам (ГИМС) – </w:t>
      </w:r>
      <w:r>
        <w:rPr>
          <w:rFonts w:ascii="Times New Roman" w:hAnsi="Times New Roman"/>
          <w:b/>
          <w:bCs/>
          <w:sz w:val="28"/>
          <w:szCs w:val="28"/>
        </w:rPr>
        <w:t xml:space="preserve">60 </w:t>
      </w:r>
      <w:r>
        <w:rPr>
          <w:rFonts w:ascii="Times New Roman" w:hAnsi="Times New Roman"/>
          <w:bCs/>
          <w:sz w:val="28"/>
          <w:szCs w:val="28"/>
        </w:rPr>
        <w:t>обращения.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Наибольшее количество обращений, поступивших в Главное управление, содержало вопросы, касающиеся соблюдений норм противопожарной безопасности физическими и юридическими лицами, как на объектах надзора, так и в жилом секторе.</w:t>
      </w:r>
    </w:p>
    <w:p>
      <w:pPr>
        <w:pStyle w:val="Style141"/>
        <w:spacing w:lineRule="auto" w:line="240"/>
        <w:ind w:firstLine="709"/>
        <w:rPr/>
      </w:pPr>
      <w:r>
        <w:rPr>
          <w:sz w:val="28"/>
          <w:szCs w:val="28"/>
        </w:rPr>
        <w:t>На постоянной основе ведется прием обращений граждан в электронном виде через электронные каналы (Госуслуги РФ, сайт Главного управления, электронная почта</w:t>
      </w:r>
      <w:r>
        <w:rPr>
          <w:rStyle w:val="FontStyle29"/>
          <w:sz w:val="28"/>
          <w:szCs w:val="28"/>
        </w:rPr>
        <w:t>, информационный ресурс сетевого справочного телефонного узла - ССТУ.РФ, федеральная государственная информационная система досудебного (внесудебного) обжалования - ФГИС ДО</w:t>
      </w:r>
      <w:r>
        <w:rPr>
          <w:sz w:val="28"/>
          <w:szCs w:val="28"/>
        </w:rPr>
        <w:t>). Так же организован прием бумажных обращений (нарочно от заявителя, почта РФ, курьерская доставка).</w:t>
      </w:r>
    </w:p>
    <w:p>
      <w:pPr>
        <w:pStyle w:val="Style141"/>
        <w:spacing w:lineRule="auto" w:line="240"/>
        <w:ind w:firstLine="709"/>
        <w:rPr/>
      </w:pPr>
      <w:r>
        <w:rPr/>
      </w:r>
    </w:p>
    <w:p>
      <w:pPr>
        <w:pStyle w:val="Normal"/>
        <w:spacing w:lineRule="auto" w:line="240" w:before="120" w:after="12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Федерации. Все обращения, поступившие в Главное управление за первый квартал 2022 года, были приняты, зарегистрированы и рассмотрены по существу в установленные законодательством сроки. По каждому обращению принято мотивированное и обоснованное в соответствии с действующим законодательством решение.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Статистические данные </w:t>
      </w:r>
    </w:p>
    <w:p>
      <w:pPr>
        <w:pStyle w:val="Normal"/>
        <w:spacing w:lineRule="auto" w:line="240" w:before="118" w:after="0"/>
        <w:jc w:val="center"/>
        <w:rPr/>
      </w:pPr>
      <w:r>
        <w:rPr>
          <w:rFonts w:ascii="Times New Roman" w:hAnsi="Times New Roman"/>
          <w:sz w:val="28"/>
          <w:szCs w:val="28"/>
        </w:rPr>
        <w:t>по работе с обращениями граждан за 1 квартал 2022 года</w:t>
      </w:r>
    </w:p>
    <w:p>
      <w:pPr>
        <w:pStyle w:val="Normal"/>
        <w:spacing w:lineRule="auto" w:line="240" w:before="118" w:after="472"/>
        <w:jc w:val="center"/>
        <w:rPr/>
      </w:pPr>
      <w:r>
        <w:rPr>
          <w:rFonts w:ascii="Times New Roman" w:hAnsi="Times New Roman"/>
          <w:sz w:val="28"/>
          <w:szCs w:val="28"/>
        </w:rPr>
        <w:t>Главного управления МЧС России по Тюменской области</w:t>
      </w:r>
    </w:p>
    <w:tbl>
      <w:tblPr>
        <w:tblW w:w="10214" w:type="dxa"/>
        <w:jc w:val="left"/>
        <w:tblInd w:w="-28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409"/>
        <w:gridCol w:w="1804"/>
      </w:tblGrid>
      <w:tr>
        <w:trPr>
          <w:tblHeader w:val="true"/>
        </w:trPr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</w:t>
              <w:br/>
              <w:t>год, 2022 г.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Поступило писем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35" w:hRule="atLeast"/>
        </w:trPr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электронном виде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260</w:t>
            </w:r>
          </w:p>
        </w:tc>
      </w:tr>
      <w:tr>
        <w:trPr>
          <w:trHeight w:val="323" w:hRule="atLeast"/>
        </w:trPr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письменном виде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</w:tr>
      <w:tr>
        <w:trPr>
          <w:trHeight w:val="275" w:hRule="atLeast"/>
        </w:trPr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факсимильной связи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коллективных 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повторных 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анонимно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телефон доверия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Поставлено на контроль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переадресовано по принадлежности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виновные привлечены к ответственности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факты подтвердились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факты не подтвердились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дан ответ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>
        <w:trPr/>
        <w:tc>
          <w:tcPr>
            <w:tcW w:w="84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-рассмотрено. Разъяснено</w:t>
            </w:r>
          </w:p>
        </w:tc>
        <w:tc>
          <w:tcPr>
            <w:tcW w:w="18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408"/>
          <w:tab w:val="left" w:pos="851" w:leader="none"/>
        </w:tabs>
        <w:spacing w:lineRule="auto" w:line="240" w:before="120" w:after="120"/>
        <w:ind w:lef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993" w:right="849" w:header="0" w:top="1276" w:footer="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4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zh-CN" w:val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Заголовок 1 Знак"/>
    <w:basedOn w:val="11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3" w:customStyle="1">
    <w:name w:val="Текст выноски Знак"/>
    <w:basedOn w:val="11"/>
    <w:qFormat/>
    <w:rPr>
      <w:rFonts w:ascii="Tahoma" w:hAnsi="Tahoma" w:cs="Tahoma"/>
      <w:sz w:val="16"/>
      <w:szCs w:val="16"/>
    </w:rPr>
  </w:style>
  <w:style w:type="character" w:styleId="FontStyle29" w:customStyle="1">
    <w:name w:val="Font Style29"/>
    <w:basedOn w:val="11"/>
    <w:qFormat/>
    <w:rPr>
      <w:rFonts w:ascii="Times New Roman" w:hAnsi="Times New Roman" w:cs="Times New Roman"/>
      <w:sz w:val="24"/>
      <w:szCs w:val="24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zh-CN" w:val="ru-RU" w:bidi="ar-SA"/>
    </w:rPr>
  </w:style>
  <w:style w:type="paragraph" w:styleId="Style141" w:customStyle="1">
    <w:name w:val="Style14"/>
    <w:basedOn w:val="Normal"/>
    <w:qFormat/>
    <w:pPr>
      <w:widowControl w:val="false"/>
      <w:spacing w:lineRule="exact" w:line="326" w:before="0" w:after="0"/>
      <w:ind w:firstLine="710"/>
      <w:jc w:val="both"/>
    </w:pPr>
    <w:rPr>
      <w:rFonts w:ascii="Times New Roman" w:hAnsi="Times New Roman"/>
      <w:sz w:val="24"/>
      <w:szCs w:val="24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4</Pages>
  <Words>633</Words>
  <Characters>4200</Characters>
  <CharactersWithSpaces>4818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2022-04-14T04:58:00Z</dcterms:created>
  <dc:creator>FuckYouBill</dc:creator>
  <dc:description/>
  <dc:language>ru-RU</dc:language>
  <cp:lastModifiedBy/>
  <cp:lastPrinted>1995-11-21T12:41:00Z</cp:lastPrinted>
  <dcterms:modified xsi:type="dcterms:W3CDTF">2024-11-06T09:34:19Z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