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Анализ </w:t>
      </w:r>
      <w:r>
        <w:rPr>
          <w:rFonts w:ascii="Times New Roman" w:hAnsi="Times New Roman"/>
          <w:b/>
          <w:sz w:val="28"/>
          <w:szCs w:val="26"/>
        </w:rPr>
        <w:t xml:space="preserve">по  </w:t>
      </w:r>
      <w:r>
        <w:rPr>
          <w:rFonts w:ascii="Times New Roman" w:hAnsi="Times New Roman"/>
          <w:b/>
          <w:sz w:val="28"/>
          <w:szCs w:val="26"/>
        </w:rPr>
        <w:t>работ</w:t>
      </w:r>
      <w:r>
        <w:rPr>
          <w:rFonts w:ascii="Times New Roman" w:hAnsi="Times New Roman"/>
          <w:b/>
          <w:sz w:val="28"/>
          <w:szCs w:val="26"/>
        </w:rPr>
        <w:t>е</w:t>
      </w:r>
      <w:r>
        <w:rPr>
          <w:rFonts w:ascii="Times New Roman" w:hAnsi="Times New Roman"/>
          <w:b/>
          <w:sz w:val="28"/>
          <w:szCs w:val="26"/>
        </w:rPr>
        <w:t xml:space="preserve"> с обращениями граждан в Главном управлении МЧС России по Тюменской области за </w:t>
      </w:r>
      <w:r>
        <w:rPr>
          <w:rFonts w:cs="Times New Roman" w:ascii="Times New Roman" w:hAnsi="Times New Roman"/>
          <w:b/>
          <w:sz w:val="28"/>
          <w:szCs w:val="26"/>
        </w:rPr>
        <w:t>Ⅲ</w:t>
      </w:r>
      <w:r>
        <w:rPr>
          <w:rFonts w:ascii="Times New Roman" w:hAnsi="Times New Roman"/>
          <w:b/>
          <w:sz w:val="28"/>
          <w:szCs w:val="26"/>
        </w:rPr>
        <w:t xml:space="preserve"> квартал 2024 года.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cs="Times New Roman" w:ascii="Times New Roman" w:hAnsi="Times New Roman"/>
          <w:sz w:val="28"/>
          <w:szCs w:val="28"/>
        </w:rPr>
        <w:t>Ⅲ</w:t>
      </w:r>
      <w:r>
        <w:rPr>
          <w:rFonts w:ascii="Times New Roman" w:hAnsi="Times New Roman"/>
          <w:sz w:val="28"/>
          <w:szCs w:val="28"/>
        </w:rPr>
        <w:t xml:space="preserve"> квартал 2024 года в адрес Главного управления МЧС России по Тюменской области (далее – Главное управление)  поступило и было поставлено на контроль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534</w:t>
      </w:r>
      <w:r>
        <w:rPr>
          <w:rFonts w:ascii="Times New Roman" w:hAnsi="Times New Roman"/>
          <w:sz w:val="28"/>
          <w:szCs w:val="28"/>
        </w:rPr>
        <w:t xml:space="preserve"> заявлений, жалоб и предложений (далее – обращения) от физических и юридических лиц, за аналогичный период прошлого года (далее - АППГ) —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461</w:t>
      </w:r>
      <w:r>
        <w:rPr>
          <w:rFonts w:ascii="Times New Roman" w:hAnsi="Times New Roman"/>
          <w:sz w:val="28"/>
          <w:szCs w:val="28"/>
        </w:rPr>
        <w:t xml:space="preserve"> обращение, увеличение составило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15%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Обращений, поступивших в электронном виде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366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340</w:t>
      </w:r>
      <w:r>
        <w:rPr>
          <w:rFonts w:ascii="Times New Roman" w:hAnsi="Times New Roman"/>
          <w:sz w:val="28"/>
          <w:szCs w:val="28"/>
        </w:rPr>
        <w:t xml:space="preserve"> обращений, увеличение составляет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7</w:t>
      </w:r>
      <w:r>
        <w:rPr>
          <w:rFonts w:ascii="Times New Roman" w:hAnsi="Times New Roman"/>
          <w:sz w:val="28"/>
          <w:szCs w:val="28"/>
        </w:rPr>
        <w:t xml:space="preserve">%), в письменном виде — </w:t>
      </w:r>
      <w:r>
        <w:rPr>
          <w:rFonts w:ascii="Times New Roman" w:hAnsi="Times New Roman"/>
          <w:b/>
          <w:bCs/>
          <w:sz w:val="28"/>
          <w:szCs w:val="28"/>
        </w:rPr>
        <w:t>152</w:t>
      </w:r>
      <w:r>
        <w:rPr>
          <w:rFonts w:ascii="Times New Roman" w:hAnsi="Times New Roman"/>
          <w:sz w:val="28"/>
          <w:szCs w:val="28"/>
        </w:rPr>
        <w:t xml:space="preserve"> обращения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(АППГ: </w:t>
      </w:r>
      <w:r>
        <w:rPr>
          <w:rFonts w:ascii="Times New Roman" w:hAnsi="Times New Roman"/>
          <w:b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 xml:space="preserve"> обращение, 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величение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26</w:t>
      </w:r>
      <w:r>
        <w:rPr>
          <w:rFonts w:ascii="Times New Roman" w:hAnsi="Times New Roman"/>
          <w:sz w:val="28"/>
          <w:szCs w:val="28"/>
        </w:rPr>
        <w:t>%).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анализа выявлено 5 случаев повторных обращений (АППГ: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обращений, 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меньшение</w:t>
      </w:r>
      <w:r>
        <w:rPr>
          <w:rFonts w:ascii="Times New Roman" w:hAnsi="Times New Roman"/>
          <w:sz w:val="28"/>
          <w:szCs w:val="28"/>
        </w:rPr>
        <w:t xml:space="preserve"> составило 29%).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проанализированных обращений зафиксировано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16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коллективных обращений (АППГ: 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меньшение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36%</w:t>
      </w:r>
      <w:r>
        <w:rPr>
          <w:rFonts w:ascii="Times New Roman" w:hAnsi="Times New Roman"/>
          <w:color w:val="000000"/>
          <w:sz w:val="28"/>
          <w:szCs w:val="28"/>
        </w:rPr>
        <w:t xml:space="preserve">). Обращения связаны с просьбами о проверках выполнения противопожарных мероприятий на территории муниципальных образований, так же о проверки СТО на соблюдение ТПБ, о  бездействии управляющих компаний по вопросам пожарной безопасности в местах общего пользования многоквартирных домов (не нормативное состояние систем пожаротушения, сухостой на придомовой территории, отсутствие проезда спецтехники экстренных служб и иных транспортных средств служб МЧС и т.д.).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Из общего количества обращений, поступивших в </w:t>
      </w:r>
      <w:r>
        <w:rPr>
          <w:rFonts w:cs="Times New Roman" w:ascii="Times New Roman" w:hAnsi="Times New Roman"/>
          <w:color w:val="000000"/>
          <w:sz w:val="28"/>
          <w:szCs w:val="28"/>
        </w:rPr>
        <w:t>Ⅲ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квартале 2024 года,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16 </w:t>
      </w:r>
      <w:r>
        <w:rPr>
          <w:rFonts w:ascii="Times New Roman" w:hAnsi="Times New Roman"/>
          <w:color w:val="000000"/>
          <w:sz w:val="28"/>
          <w:szCs w:val="28"/>
        </w:rPr>
        <w:t xml:space="preserve">обращений перенаправлено по компетенции в иные государственные органы власти (АППГ: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обращений)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в соответствии со ст. 8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Федерального закона от 02.05.2006 № 59 - ФЗ «О порядке рассмотрения обращений граждан Российской Федерации») (далее – № 59-ФЗ).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Наибольшее количество обращений, как и прежде, поступило по вопросам работы противопожарной службы и соблюдения требований пожарной безопасности –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 xml:space="preserve">272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обращения (АППГ: 341 обращение, уменьшение составило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>%). Граждане в основном обращались, по нарушением требований пожарной безопасности в местах общего пользования многоквартирных домов (системы эвакуации, противодымная защита, комплектность противопожарных ящиков в многоквартирных домах и т.д.), а также с вопросами,  связанными с нарушением требований пожарной безопасности индивидуальными предпринимателями и юридическими лицами.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Отмечается увеличение количества обращений, касающихся деятельности ГИМС. В основном это обращения-запросы физических лиц о наличии или отсутствии маломерных судов, зарегистрированных за гражданами -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217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запросов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АППГ: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95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запросов, увеличение на 128%).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проведении анализа по обращениям за отчетный период времени в области предупреждения чрезвычайных ситуаций природного и техногенного характера, преодоление последствий поступило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 xml:space="preserve">8 </w:t>
      </w:r>
      <w:r>
        <w:rPr>
          <w:rFonts w:ascii="Times New Roman" w:hAnsi="Times New Roman"/>
          <w:bCs/>
          <w:color w:val="000000"/>
          <w:sz w:val="28"/>
          <w:szCs w:val="28"/>
        </w:rPr>
        <w:t>обращений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АППГ: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обращение, увеличение составило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100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%). Это вопросы, связанные с ликвидацией последствий стихийных бедствий и чрезвычайных происшествий, предупреждение чрезвычайных ситуаций природного и техногенного характера, преодоление последствий и экологической безопасностью. </w:t>
      </w:r>
    </w:p>
    <w:p>
      <w:pPr>
        <w:pStyle w:val="Normal"/>
        <w:spacing w:lineRule="auto" w:line="240" w:before="0" w:after="0"/>
        <w:ind w:firstLine="709"/>
        <w:jc w:val="both"/>
        <w:rPr>
          <w:color w:val="FF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вопросам связанным с рассмотрением обращений граждан, обратилось –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 xml:space="preserve">10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граждан (АППГ: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13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граждан, уменьшение на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23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%). </w:t>
        <w:br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 основном это заявления, связанные с представлением дополнительных документов и материалов по обращению, с ознакомлением материалов по обращению, а так же с прекращением рассмотрения ранее поданного обращения.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обращений, на рассмотрении находится — </w:t>
      </w:r>
      <w:r>
        <w:rPr>
          <w:rFonts w:eastAsia="Times New Roman" w:cs="Times New Roman"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обращения. Обращения, рассмотренные с нарушением сроков — отсутствуют.  В установленные сроки рассмотрено — </w:t>
      </w:r>
      <w:r>
        <w:rPr>
          <w:rFonts w:eastAsia="Times New Roman" w:cs="Times New Roman" w:ascii="Times New Roman" w:hAnsi="Times New Roman"/>
          <w:sz w:val="28"/>
          <w:szCs w:val="28"/>
        </w:rPr>
        <w:t>461 обращение.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Дан ответу автору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257 </w:t>
      </w:r>
      <w:r>
        <w:rPr>
          <w:rFonts w:ascii="Times New Roman" w:hAnsi="Times New Roman"/>
          <w:sz w:val="28"/>
          <w:szCs w:val="28"/>
        </w:rPr>
        <w:t xml:space="preserve">(АППГ: </w:t>
      </w:r>
      <w:r>
        <w:rPr>
          <w:rFonts w:ascii="Times New Roman" w:hAnsi="Times New Roman"/>
          <w:b/>
          <w:sz w:val="28"/>
          <w:szCs w:val="28"/>
        </w:rPr>
        <w:t xml:space="preserve">153 </w:t>
      </w:r>
      <w:r>
        <w:rPr>
          <w:rFonts w:ascii="Times New Roman" w:hAnsi="Times New Roman"/>
          <w:sz w:val="28"/>
          <w:szCs w:val="28"/>
        </w:rPr>
        <w:t>обращения);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Рассмотрено, разъяснено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182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207</w:t>
      </w:r>
      <w:r>
        <w:rPr>
          <w:rFonts w:ascii="Times New Roman" w:hAnsi="Times New Roman"/>
          <w:sz w:val="28"/>
          <w:szCs w:val="28"/>
        </w:rPr>
        <w:t xml:space="preserve"> обращений);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Рассмотрено, не поддержано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Рассмотрено, поддержано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Оставлено без ответа автору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(АППГ: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обращение);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Рассмотрение продлено —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(АППГ: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обращений);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Направлено по компетенции —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(АППГ: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обращений).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Увеличение активности граждан по отдельным темам связано с вопросами работы противопожарной службы и соблюдения требований пожарной безопасности.</w:t>
      </w:r>
    </w:p>
    <w:p>
      <w:pPr>
        <w:pStyle w:val="Style141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ведется прием обращений граждан в электронном виде через электронные каналы (Госуслуги РФ, сайт Главного управления, </w:t>
      </w:r>
      <w:r>
        <w:rPr>
          <w:rStyle w:val="FontStyle29"/>
          <w:sz w:val="28"/>
          <w:szCs w:val="28"/>
        </w:rPr>
        <w:t>информационный ресурс сетевого справочного телефонного узла - ССТУ.РФ, федеральная государственная информационная система досудебного (внесудебного) обжалования - ФГИС ДО, систему межведомственного электронного документооборота - МЭДО</w:t>
      </w:r>
      <w:r>
        <w:rPr>
          <w:sz w:val="28"/>
          <w:szCs w:val="28"/>
        </w:rPr>
        <w:t>). Так же организован личный прием в ежедневном режиме (в рабочее время) граждан работниками группы по работе с обращениями граждан и прием бумажных обращений (нарочно от заявителя, почта РФ, курьерская доставка).</w:t>
      </w:r>
    </w:p>
    <w:p>
      <w:pPr>
        <w:pStyle w:val="Style141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Работа по рассмотрению обращений граждан в Главном управлении МЧС России по Тюменской области ведется в соответствии с Федеральным законом от 02 мая 2006 г. № 59-ФЗ «О порядке рассмотрения обращений граждан Российской Федерации». Все обращения, поступившие в Главное управление за Ⅲ квартал 2024 года, были приняты, зарегистрированы и рассмотрены по существу в установленные законодательством сроки.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rPr/>
      </w:pPr>
      <w:r>
        <w:rPr>
          <w:rFonts w:cs="Times New Roman" w:ascii="Times New Roman" w:hAnsi="Times New Roman"/>
          <w:b/>
          <w:bCs/>
          <w:szCs w:val="28"/>
        </w:rPr>
        <w:t>Статистические данные</w:t>
      </w:r>
    </w:p>
    <w:p>
      <w:pPr>
        <w:pStyle w:val="Standard"/>
        <w:rPr/>
      </w:pPr>
      <w:r>
        <w:rPr>
          <w:rFonts w:cs="Times New Roman" w:ascii="Times New Roman" w:hAnsi="Times New Roman"/>
          <w:b/>
          <w:szCs w:val="28"/>
        </w:rPr>
        <w:t xml:space="preserve"> </w:t>
      </w:r>
      <w:r>
        <w:rPr>
          <w:rFonts w:cs="Times New Roman" w:ascii="Times New Roman" w:hAnsi="Times New Roman"/>
          <w:b/>
          <w:szCs w:val="28"/>
        </w:rPr>
        <w:t>работы с обращениями граждан в Главном управлении МЧС России по Тюменской области за Ⅲ квартал 2024 г</w:t>
      </w:r>
    </w:p>
    <w:p>
      <w:pPr>
        <w:pStyle w:val="Standard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tbl>
      <w:tblPr>
        <w:tblW w:w="9759" w:type="dxa"/>
        <w:jc w:val="left"/>
        <w:tblInd w:w="-123" w:type="dxa"/>
        <w:tblCellMar>
          <w:top w:w="0" w:type="dxa"/>
          <w:left w:w="22" w:type="dxa"/>
          <w:bottom w:w="0" w:type="dxa"/>
          <w:right w:w="0" w:type="dxa"/>
        </w:tblCellMar>
        <w:tblLook w:val="0000"/>
      </w:tblPr>
      <w:tblGrid>
        <w:gridCol w:w="7487"/>
        <w:gridCol w:w="2271"/>
      </w:tblGrid>
      <w:tr>
        <w:trPr>
          <w:tblHeader w:val="true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Отчетный</w:t>
              <w:br/>
              <w:t xml:space="preserve">год, </w:t>
            </w:r>
            <w:r>
              <w:rPr>
                <w:rFonts w:cs="Times New Roman" w:ascii="Times New Roman" w:hAnsi="Times New Roman"/>
                <w:b/>
                <w:bCs/>
                <w:szCs w:val="28"/>
                <w:lang w:val="en-US"/>
              </w:rPr>
              <w:t>Ⅲ</w:t>
            </w:r>
            <w:r>
              <w:rPr>
                <w:rFonts w:cs="Times New Roman" w:ascii="Times New Roman" w:hAnsi="Times New Roman"/>
                <w:b/>
                <w:bCs/>
                <w:szCs w:val="28"/>
              </w:rPr>
              <w:t xml:space="preserve"> квартал 2024 г.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Поступило обращений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534</w:t>
            </w:r>
          </w:p>
        </w:tc>
      </w:tr>
      <w:tr>
        <w:trPr>
          <w:trHeight w:val="135" w:hRule="atLeast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в электронном виде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366</w:t>
            </w:r>
          </w:p>
        </w:tc>
      </w:tr>
      <w:tr>
        <w:trPr>
          <w:trHeight w:val="323" w:hRule="atLeast"/>
        </w:trPr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в письменном виде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eastAsia="Times New Roman" w:cs="Times New Roman"/>
                <w:b/>
                <w:bCs/>
                <w:kern w:val="0"/>
                <w:szCs w:val="28"/>
              </w:rPr>
              <w:t>152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коллективных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16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повторных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5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Cs/>
                <w:szCs w:val="28"/>
              </w:rPr>
              <w:t>телефон доверия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6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  <w:t>Поставлено на контроль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534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В том числе: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rPr>
                <w:rFonts w:ascii="Times New Roman" w:hAnsi="Times New Roman" w:cs="Times New Roman"/>
                <w:b/>
                <w:b/>
                <w:bCs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Cs w:val="28"/>
              </w:rPr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переадресовано по принадлежности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16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виновные привлечены к ответственности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21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рассмотрение обращения с выездом на место, в том числе с участием автора обращения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254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факты подтвердились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169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факты не подтвердились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71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 дан ответ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257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cs="Times New Roman" w:ascii="Times New Roman" w:hAnsi="Times New Roman"/>
                <w:szCs w:val="28"/>
              </w:rPr>
              <w:t>-рассмотрено. Разъяснено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/>
            </w:pPr>
            <w:r>
              <w:rPr>
                <w:b/>
                <w:bCs/>
                <w:szCs w:val="28"/>
              </w:rPr>
              <w:t>182</w:t>
            </w:r>
          </w:p>
        </w:tc>
      </w:tr>
      <w:tr>
        <w:trPr/>
        <w:tc>
          <w:tcPr>
            <w:tcW w:w="748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оставлено без ответа автору</w:t>
            </w:r>
          </w:p>
        </w:tc>
        <w:tc>
          <w:tcPr>
            <w:tcW w:w="22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color="auto" w:fill="auto" w:val="clear"/>
            <w:vAlign w:val="center"/>
          </w:tcPr>
          <w:p>
            <w:pPr>
              <w:pStyle w:val="Standard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</w:tr>
    </w:tbl>
    <w:p>
      <w:pPr>
        <w:pStyle w:val="Standard"/>
        <w:spacing w:before="120" w:after="12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before="0" w:after="200"/>
        <w:rPr>
          <w:lang w:val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051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9" w:customStyle="1">
    <w:name w:val="Font Style29"/>
    <w:basedOn w:val="DefaultParagraphFont"/>
    <w:qFormat/>
    <w:rsid w:val="00f92953"/>
    <w:rPr>
      <w:rFonts w:ascii="Times New Roman" w:hAnsi="Times New Roman" w:cs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1" w:customStyle="1">
    <w:name w:val="Style14"/>
    <w:basedOn w:val="Normal"/>
    <w:qFormat/>
    <w:rsid w:val="00f92953"/>
    <w:pPr>
      <w:widowControl w:val="false"/>
      <w:suppressAutoHyphens w:val="true"/>
      <w:spacing w:lineRule="exact" w:line="326" w:before="0" w:after="0"/>
      <w:ind w:firstLine="710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andard" w:customStyle="1">
    <w:name w:val="Standard"/>
    <w:qFormat/>
    <w:rsid w:val="00f92953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Source Han Sans CN Regular" w:cs="PT Astra Serif"/>
      <w:color w:val="auto"/>
      <w:kern w:val="2"/>
      <w:sz w:val="28"/>
      <w:szCs w:val="24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LibreOffice/6.4.4.2$Linux_X86_64 LibreOffice_project/40$Build-2</Application>
  <Pages>3</Pages>
  <Words>731</Words>
  <Characters>4850</Characters>
  <CharactersWithSpaces>5554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2024-07-03T06:13:00Z</dcterms:created>
  <dc:creator>l.m.buchelnikova</dc:creator>
  <dc:description/>
  <dc:language>ru-RU</dc:language>
  <cp:lastModifiedBy/>
  <cp:lastPrinted>2024-10-08T06:17:00Z</cp:lastPrinted>
  <dcterms:modified xsi:type="dcterms:W3CDTF">2024-11-06T10:12:41Z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